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附件5：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课题</w:t>
      </w:r>
      <w:r>
        <w:rPr>
          <w:rFonts w:hint="eastAsia" w:ascii="仿宋_GB2312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-   号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中国物业管理协会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课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题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研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究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合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同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 xml:space="preserve"> 书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720" w:lineRule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</w:rPr>
        <w:t>课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</w:rPr>
        <w:t>题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</w:rPr>
        <w:t>名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</w:rPr>
        <w:t>称</w:t>
      </w:r>
      <w:r>
        <w:rPr>
          <w:rFonts w:hint="eastAsia" w:ascii="宋体" w:hAnsi="宋体" w:eastAsia="宋体" w:cs="宋体"/>
          <w:b/>
          <w:bCs/>
          <w:spacing w:val="6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720" w:lineRule="auto"/>
        <w:ind w:left="2700" w:hanging="2100" w:hangingChars="750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委托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（甲方）：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720" w:lineRule="auto"/>
        <w:ind w:left="2700" w:hanging="2100" w:hangingChars="750"/>
        <w:rPr>
          <w:rFonts w:hint="eastAsia" w:ascii="宋体" w:hAnsi="宋体" w:eastAsia="宋体" w:cs="宋体"/>
          <w:b/>
          <w:bCs/>
          <w:spacing w:val="-7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承担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（乙方）：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spacing w:line="720" w:lineRule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35"/>
          <w:sz w:val="28"/>
          <w:szCs w:val="28"/>
          <w:lang w:val="en-US" w:eastAsia="zh-CN"/>
        </w:rPr>
        <w:t>合同起止</w:t>
      </w:r>
      <w:r>
        <w:rPr>
          <w:rFonts w:hint="eastAsia" w:ascii="宋体" w:hAnsi="宋体" w:eastAsia="宋体" w:cs="宋体"/>
          <w:b/>
          <w:bCs/>
          <w:spacing w:val="35"/>
          <w:sz w:val="28"/>
          <w:szCs w:val="28"/>
        </w:rPr>
        <w:t>时间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600" w:lineRule="auto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spacing w:line="60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84" w:lineRule="auto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中国物业管理协会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印制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tbl>
      <w:tblPr>
        <w:tblStyle w:val="3"/>
        <w:tblW w:w="8295" w:type="dxa"/>
        <w:jc w:val="center"/>
        <w:tblInd w:w="31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05"/>
        <w:gridCol w:w="2594"/>
        <w:gridCol w:w="1276"/>
        <w:gridCol w:w="20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before="120"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委 托 单 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︵甲方︶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中国物业管理协会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法定代表人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北京市三里河路15号中建大厦B9003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010-88083321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招商银行北京甘家口支行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帐   号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110908479710118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before="120" w:line="240" w:lineRule="auto"/>
              <w:ind w:left="113" w:right="-108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承担 单 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方︶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法定代表人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帐   号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财务负责人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 介 方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帐   号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36" w:type="dxa"/>
            <w:vMerge w:val="continue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财务负责人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本合同甲方委托乙方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开展</w:t>
      </w:r>
      <w:r>
        <w:rPr>
          <w:rFonts w:hint="eastAsia" w:ascii="仿宋" w:hAnsi="仿宋" w:eastAsia="仿宋" w:cs="仿宋"/>
          <w:sz w:val="30"/>
          <w:szCs w:val="30"/>
        </w:rPr>
        <w:t>课题研究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，并支付研究费用。双方经过平等协商，在真实、充分表达各自意愿的基础上，根据《中华人民共和国合同法》的规定，达成如下协议，并由双方共同恪守。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  总体要求：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乙方遵守《中国物业管理协会课题管理办法》的相关规定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，按照《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中国物业管理协会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物业管理</w:t>
      </w:r>
      <w:r>
        <w:rPr>
          <w:rFonts w:hint="eastAsia" w:ascii="仿宋" w:hAnsi="仿宋" w:eastAsia="仿宋" w:cs="仿宋"/>
          <w:sz w:val="30"/>
          <w:szCs w:val="30"/>
        </w:rPr>
        <w:t>课题研究计划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和《中国物业管理协会课题申请书》的内容</w:t>
      </w:r>
      <w:r>
        <w:rPr>
          <w:rFonts w:hint="eastAsia" w:ascii="仿宋" w:hAnsi="仿宋" w:eastAsia="仿宋" w:cs="仿宋"/>
          <w:sz w:val="30"/>
          <w:szCs w:val="30"/>
        </w:rPr>
        <w:t>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研究工作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研究成果对甲方的工作有实际参考意义。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  进度安排：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月底前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组织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召开课题开题会，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部署课题研究有关事项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月底前汇报课题中期进度，提交课题中期进展报告。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月底前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完成课题研究工作，根据甲方整体工作安排，组织召开课题汇报交流会，经过专家组评审验收后，提交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课题结题相关资料。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条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课题研究经费和支付方式：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1．课题研究经费总额为</w:t>
      </w:r>
      <w:r>
        <w:rPr>
          <w:rFonts w:hint="eastAsia" w:ascii="仿宋" w:hAnsi="仿宋" w:eastAsia="仿宋" w:cs="仿宋"/>
          <w:i/>
          <w:sz w:val="30"/>
          <w:szCs w:val="30"/>
          <w:u w:val="none"/>
        </w:rPr>
        <w:t xml:space="preserve"> ￥</w:t>
      </w:r>
      <w:r>
        <w:rPr>
          <w:rFonts w:hint="eastAsia" w:ascii="仿宋" w:hAnsi="仿宋" w:eastAsia="仿宋" w:cs="仿宋"/>
          <w:i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；大写：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</w:rPr>
        <w:t>万元整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．课题研究经费支付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课</w:t>
      </w:r>
      <w:r>
        <w:rPr>
          <w:rFonts w:hint="eastAsia" w:ascii="仿宋" w:hAnsi="仿宋" w:eastAsia="仿宋" w:cs="仿宋"/>
          <w:sz w:val="30"/>
          <w:szCs w:val="30"/>
        </w:rPr>
        <w:t>题研究经费由甲方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次支付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</w:t>
      </w:r>
      <w:r>
        <w:rPr>
          <w:rFonts w:hint="eastAsia" w:ascii="仿宋" w:hAnsi="仿宋" w:eastAsia="仿宋" w:cs="仿宋"/>
          <w:sz w:val="30"/>
          <w:szCs w:val="30"/>
        </w:rPr>
        <w:t>乙方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人民币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万元整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课题研究经费由甲方分2次支付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</w:t>
      </w:r>
      <w:r>
        <w:rPr>
          <w:rFonts w:hint="eastAsia" w:ascii="仿宋" w:hAnsi="仿宋" w:eastAsia="仿宋" w:cs="仿宋"/>
          <w:sz w:val="30"/>
          <w:szCs w:val="30"/>
        </w:rPr>
        <w:t>乙方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合同签订之日起10个工作日内支付人民币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万元整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课题研究成果经甲方审核通过1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个工作日内支付人民币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i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万元整。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．乙方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在确认收到研究经费5日内，开具</w:t>
      </w:r>
      <w:r>
        <w:rPr>
          <w:rFonts w:hint="eastAsia" w:ascii="仿宋" w:hAnsi="仿宋" w:eastAsia="仿宋" w:cs="仿宋"/>
          <w:sz w:val="30"/>
          <w:szCs w:val="30"/>
        </w:rPr>
        <w:t>内容为“课题费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服务费”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发票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4．研究经费主要支出科目：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印刷费（单位的印刷费支出）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差旅费（单位工作人员出差的住宿费、旅费、伙食补助费、杂费）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会议费（会议中按规定开支的房费、伙食补助费以及会议场地租用费等）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劳务费（支付给单位和个人的劳务费用，如临时聘用人员、钟点工工资，稿费、翻译费、评审费等）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邮电费（单位开支的信函、货物等物品的邮寄费及电话费、电报费、传真费、网络通讯费等）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管理费（课题管理费按承担单位实际发生填写，不超过总额10%）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其他费用（如确实不能列到以上各项费用里的，可以放在此项，但要注明支出内容，费用不能超过拨付总额的5%）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第四条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课题研究成果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和知识产权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课题研究成果应坚持理论联系实际，观点明确、内容翔实、行文规范，具有一定的前瞻性、开拓性和实用性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字数一般不少于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0000字</w:t>
      </w: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</w:t>
      </w:r>
      <w:r>
        <w:rPr>
          <w:rFonts w:hint="eastAsia" w:ascii="仿宋" w:hAnsi="仿宋" w:eastAsia="仿宋" w:cs="仿宋"/>
          <w:sz w:val="30"/>
          <w:szCs w:val="30"/>
        </w:rPr>
        <w:t>成果提交形式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课题研究报告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和相关附件</w:t>
      </w:r>
      <w:r>
        <w:rPr>
          <w:rFonts w:hint="eastAsia" w:ascii="仿宋" w:hAnsi="仿宋" w:eastAsia="仿宋" w:cs="仿宋"/>
          <w:sz w:val="30"/>
          <w:szCs w:val="30"/>
        </w:rPr>
        <w:t>纸质版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电子版1份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．乙方提交的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成果报告的知识产权归甲方所有。未经甲方书面同意，乙方不得以任何形式向第三方提供研究数据、研究成果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．乙方完成的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工作和提交的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成果不得侵犯任何第三方的合法权益。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双方的权利与义务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甲方的权利与义务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指导乙方开展课题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相关工作，参加乙方组织的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开题会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和汇报交流会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</w:t>
      </w:r>
      <w:r>
        <w:rPr>
          <w:rFonts w:hint="eastAsia" w:ascii="仿宋" w:hAnsi="仿宋" w:eastAsia="仿宋" w:cs="仿宋"/>
          <w:sz w:val="30"/>
          <w:szCs w:val="30"/>
        </w:rPr>
        <w:t>约定及时拨付有关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乙方的权利与义务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</w:t>
      </w:r>
      <w:r>
        <w:rPr>
          <w:rFonts w:hint="eastAsia" w:ascii="仿宋" w:hAnsi="仿宋" w:eastAsia="仿宋" w:cs="仿宋"/>
          <w:sz w:val="30"/>
          <w:szCs w:val="30"/>
        </w:rPr>
        <w:t>约定的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进度安排</w:t>
      </w:r>
      <w:r>
        <w:rPr>
          <w:rFonts w:hint="eastAsia" w:ascii="仿宋" w:hAnsi="仿宋" w:eastAsia="仿宋" w:cs="仿宋"/>
          <w:sz w:val="30"/>
          <w:szCs w:val="30"/>
        </w:rPr>
        <w:t>和要求完成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及时汇报课题进展情况。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课题研究</w:t>
      </w:r>
      <w:r>
        <w:rPr>
          <w:rFonts w:hint="eastAsia" w:ascii="仿宋" w:hAnsi="仿宋" w:eastAsia="仿宋" w:cs="仿宋"/>
          <w:sz w:val="30"/>
          <w:szCs w:val="30"/>
        </w:rPr>
        <w:t>相关内容进行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调整和修改时，应先与</w:t>
      </w:r>
      <w:r>
        <w:rPr>
          <w:rFonts w:hint="eastAsia" w:ascii="仿宋" w:hAnsi="仿宋" w:eastAsia="仿宋" w:cs="仿宋"/>
          <w:sz w:val="30"/>
          <w:szCs w:val="30"/>
        </w:rPr>
        <w:t>甲方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沟通，</w:t>
      </w:r>
      <w:r>
        <w:rPr>
          <w:rFonts w:hint="eastAsia" w:ascii="仿宋" w:hAnsi="仿宋" w:eastAsia="仿宋" w:cs="仿宋"/>
          <w:sz w:val="30"/>
          <w:szCs w:val="30"/>
        </w:rPr>
        <w:t>甲方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同意后进行变更手续。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不得将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sz w:val="30"/>
          <w:szCs w:val="30"/>
        </w:rPr>
        <w:t>工作全部或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绝大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部分委托</w:t>
      </w:r>
      <w:r>
        <w:rPr>
          <w:rFonts w:hint="eastAsia" w:ascii="仿宋" w:hAnsi="仿宋" w:eastAsia="仿宋" w:cs="仿宋"/>
          <w:sz w:val="30"/>
          <w:szCs w:val="30"/>
        </w:rPr>
        <w:t>给第三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条  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1．甲方违约，应承担违约责任，除继续履行合同外，还应支付违约金，违约金额上限为合同额的20%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2．乙方违约，应承担违约责任，除继续履行合同外，还应支付违约金，违约金额上限为合同额的20%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．双方约定，发生不可抗力致使本合同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无法正常履行，</w:t>
      </w:r>
      <w:r>
        <w:rPr>
          <w:rFonts w:hint="eastAsia" w:ascii="仿宋" w:hAnsi="仿宋" w:eastAsia="仿宋" w:cs="仿宋"/>
          <w:sz w:val="30"/>
          <w:szCs w:val="30"/>
        </w:rPr>
        <w:t>可以解除合同。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条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争议解决：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双方因履行本合同而发生的争议，应协商、调解解决。协商、调解不成的，提交北京仲裁委员会仲裁。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条 其它：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．本协议未尽事宜，甲、乙双方可协商另行签订补充协议，补充协议与本协议具有同等法律效力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．本合同一式四份，自双方授权代表签字盖章之日起生效。双方各执两份，具有同等法律效力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．对本合同任何条款的修改、补充或变更，双方必须签订书面协议并签字盖章后方可生效。</w:t>
      </w:r>
    </w:p>
    <w:p>
      <w:pPr>
        <w:adjustRightInd w:val="0"/>
        <w:snapToGrid w:val="0"/>
        <w:spacing w:line="384" w:lineRule="auto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4" w:lineRule="auto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4" w:lineRule="auto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4" w:lineRule="auto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4" w:lineRule="auto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4" w:lineRule="auto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4" w:lineRule="auto"/>
        <w:ind w:left="4679" w:hanging="4678" w:hangingChars="1671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37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4" w:type="dxa"/>
            <w:vAlign w:val="top"/>
          </w:tcPr>
          <w:p>
            <w:pPr>
              <w:adjustRightInd w:val="0"/>
              <w:snapToGrid w:val="0"/>
              <w:spacing w:line="384" w:lineRule="auto"/>
              <w:ind w:left="899" w:hanging="898" w:hangingChars="32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甲方：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中国物业管理协会</w:t>
            </w:r>
          </w:p>
        </w:tc>
        <w:tc>
          <w:tcPr>
            <w:tcW w:w="3728" w:type="dxa"/>
            <w:vAlign w:val="top"/>
          </w:tcPr>
          <w:p>
            <w:pPr>
              <w:adjustRightInd w:val="0"/>
              <w:snapToGrid w:val="0"/>
              <w:spacing w:line="384" w:lineRule="auto"/>
              <w:ind w:left="958" w:hanging="957" w:hangingChars="34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乙方： </w:t>
            </w:r>
          </w:p>
        </w:tc>
      </w:tr>
    </w:tbl>
    <w:p>
      <w:pPr>
        <w:adjustRightInd w:val="0"/>
        <w:snapToGrid w:val="0"/>
        <w:spacing w:line="384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法定代表人签字：                  法定代表人签字：</w:t>
      </w:r>
    </w:p>
    <w:p>
      <w:pPr>
        <w:adjustRightInd w:val="0"/>
        <w:snapToGrid w:val="0"/>
        <w:spacing w:line="384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（盖章）                         （盖章）</w:t>
      </w:r>
    </w:p>
    <w:p>
      <w:pPr>
        <w:adjustRightInd w:val="0"/>
        <w:snapToGrid w:val="0"/>
        <w:spacing w:line="384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 xml:space="preserve">       年   月   日                         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47CF"/>
    <w:rsid w:val="0C3E18BB"/>
    <w:rsid w:val="53F247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2017-04-11T01:52:00Z</dcterms:created>
  <dc:creator>a</dc:creator>
  <cp:lastModifiedBy>a</cp:lastModifiedBy>
  <dcterms:modified xsi:type="dcterms:W3CDTF">2017-04-19T02:05:28Z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